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000" w:rsidRDefault="000A546C">
      <w:pPr>
        <w:pStyle w:val="Header"/>
        <w:jc w:val="right"/>
        <w:divId w:val="664212750"/>
      </w:pPr>
    </w:p>
    <w:p w:rsidR="00000000" w:rsidRPr="000A546C" w:rsidRDefault="000A546C" w:rsidP="000A546C">
      <w:pPr>
        <w:pStyle w:val="Title"/>
        <w:bidi/>
        <w:jc w:val="center"/>
        <w:rPr>
          <w:rStyle w:val="Strong"/>
          <w:rFonts w:cs="David" w:hint="cs"/>
          <w:sz w:val="24"/>
          <w:szCs w:val="24"/>
          <w:rtl/>
        </w:rPr>
      </w:pPr>
      <w:bookmarkStart w:id="0" w:name="_GoBack"/>
      <w:r w:rsidRPr="000A546C">
        <w:rPr>
          <w:rStyle w:val="Strong"/>
          <w:rFonts w:cs="David" w:hint="cs"/>
          <w:sz w:val="24"/>
          <w:szCs w:val="24"/>
          <w:rtl/>
        </w:rPr>
        <w:t>הודעה על ביטול הכרזה בדבר קיום מונופולין</w:t>
      </w:r>
    </w:p>
    <w:p w:rsidR="00000000" w:rsidRPr="000A546C" w:rsidRDefault="000A546C" w:rsidP="000A546C">
      <w:pPr>
        <w:pStyle w:val="Title"/>
        <w:bidi/>
        <w:jc w:val="center"/>
        <w:rPr>
          <w:rStyle w:val="Strong"/>
          <w:rFonts w:cs="David" w:hint="cs"/>
          <w:sz w:val="24"/>
          <w:szCs w:val="24"/>
          <w:u w:val="single"/>
          <w:rtl/>
        </w:rPr>
      </w:pPr>
      <w:r w:rsidRPr="000A546C">
        <w:rPr>
          <w:rStyle w:val="Strong"/>
          <w:rFonts w:cs="David" w:hint="cs"/>
          <w:sz w:val="24"/>
          <w:szCs w:val="24"/>
          <w:u w:val="single"/>
          <w:rtl/>
        </w:rPr>
        <w:t xml:space="preserve">לפי חוק ההגבלים העסקיים, </w:t>
      </w:r>
      <w:proofErr w:type="spellStart"/>
      <w:r w:rsidRPr="000A546C">
        <w:rPr>
          <w:rStyle w:val="Strong"/>
          <w:rFonts w:cs="David" w:hint="cs"/>
          <w:sz w:val="24"/>
          <w:szCs w:val="24"/>
          <w:u w:val="single"/>
          <w:rtl/>
        </w:rPr>
        <w:t>התשמ"ח</w:t>
      </w:r>
      <w:proofErr w:type="spellEnd"/>
      <w:r w:rsidRPr="000A546C">
        <w:rPr>
          <w:rStyle w:val="Strong"/>
          <w:rFonts w:cs="David" w:hint="cs"/>
          <w:sz w:val="24"/>
          <w:szCs w:val="24"/>
          <w:u w:val="single"/>
          <w:rtl/>
        </w:rPr>
        <w:t>–1988</w:t>
      </w:r>
    </w:p>
    <w:bookmarkEnd w:id="0"/>
    <w:p w:rsidR="00000000" w:rsidRDefault="000A546C">
      <w:pPr>
        <w:overflowPunct w:val="0"/>
        <w:bidi/>
        <w:adjustRightInd w:val="0"/>
        <w:textAlignment w:val="baseline"/>
        <w:rPr>
          <w:rFonts w:hint="cs"/>
          <w:rtl/>
        </w:rPr>
      </w:pPr>
    </w:p>
    <w:p w:rsidR="00000000" w:rsidRDefault="000A546C">
      <w:pPr>
        <w:overflowPunct w:val="0"/>
        <w:bidi/>
        <w:adjustRightInd w:val="0"/>
        <w:textAlignment w:val="baseline"/>
        <w:rPr>
          <w:rFonts w:cs="David" w:hint="cs"/>
          <w:rtl/>
        </w:rPr>
      </w:pPr>
      <w:r>
        <w:rPr>
          <w:rFonts w:cs="David" w:hint="cs"/>
          <w:rtl/>
        </w:rPr>
        <w:t xml:space="preserve">בתוקף סמכותי לפי סעיף 26(א) לחוק ההגבלים העסקיים, </w:t>
      </w:r>
      <w:proofErr w:type="spellStart"/>
      <w:r>
        <w:rPr>
          <w:rFonts w:cs="David" w:hint="cs"/>
          <w:rtl/>
        </w:rPr>
        <w:t>התשמ"ח</w:t>
      </w:r>
      <w:proofErr w:type="spellEnd"/>
      <w:r>
        <w:rPr>
          <w:rFonts w:cs="David" w:hint="cs"/>
          <w:rtl/>
        </w:rPr>
        <w:t>–1988</w:t>
      </w:r>
      <w:r>
        <w:rPr>
          <w:rFonts w:cs="David"/>
          <w:vertAlign w:val="superscript"/>
          <w:rtl/>
        </w:rPr>
        <w:footnoteReference w:id="1"/>
      </w:r>
      <w:r>
        <w:rPr>
          <w:rFonts w:eastAsia="Times New Roman" w:cs="David"/>
          <w:vertAlign w:val="superscript"/>
          <w:lang w:eastAsia="he-IL"/>
        </w:rPr>
        <w:t>[1]</w:t>
      </w:r>
      <w:r>
        <w:rPr>
          <w:rFonts w:cs="David" w:hint="cs"/>
          <w:rtl/>
        </w:rPr>
        <w:t>, אני מודיעה על ביטול ההכרזות הקיימות של חברת תעשיות אלקטרוכימיות (</w:t>
      </w:r>
      <w:proofErr w:type="spellStart"/>
      <w:r>
        <w:rPr>
          <w:rFonts w:cs="David" w:hint="cs"/>
          <w:rtl/>
        </w:rPr>
        <w:t>פרוטארום</w:t>
      </w:r>
      <w:proofErr w:type="spellEnd"/>
      <w:r>
        <w:rPr>
          <w:rFonts w:cs="David" w:hint="cs"/>
          <w:rtl/>
        </w:rPr>
        <w:t>) בע"מ</w:t>
      </w:r>
      <w:r>
        <w:rPr>
          <w:rStyle w:val="FootnoteReference"/>
          <w:rFonts w:cs="David"/>
          <w:szCs w:val="20"/>
          <w:rtl/>
        </w:rPr>
        <w:footnoteReference w:id="2"/>
      </w:r>
      <w:r>
        <w:rPr>
          <w:rStyle w:val="FootnoteReference"/>
          <w:rFonts w:eastAsia="Times New Roman" w:cs="David"/>
          <w:szCs w:val="20"/>
          <w:lang w:eastAsia="he-IL"/>
        </w:rPr>
        <w:t>[2]</w:t>
      </w:r>
      <w:r>
        <w:rPr>
          <w:rFonts w:cs="David" w:hint="cs"/>
          <w:rtl/>
        </w:rPr>
        <w:t xml:space="preserve"> כבעלת מונופולין באספקת כלור, סודיום </w:t>
      </w:r>
      <w:proofErr w:type="spellStart"/>
      <w:r>
        <w:rPr>
          <w:rFonts w:cs="David" w:hint="cs"/>
          <w:rtl/>
        </w:rPr>
        <w:t>היפרכלוריד</w:t>
      </w:r>
      <w:proofErr w:type="spellEnd"/>
      <w:r>
        <w:rPr>
          <w:rFonts w:cs="David" w:hint="cs"/>
          <w:rtl/>
        </w:rPr>
        <w:t>, ופי. וי. סי., לאחר שבדיקה שנערכה ע"י הרשות להגבלים עסקיים העלתה כי החברה אינה מהווה עוד מונופולין באספקתם.</w:t>
      </w:r>
    </w:p>
    <w:p w:rsidR="00000000" w:rsidRDefault="000A546C">
      <w:pPr>
        <w:overflowPunct w:val="0"/>
        <w:bidi/>
        <w:adjustRightInd w:val="0"/>
        <w:textAlignment w:val="baseline"/>
        <w:rPr>
          <w:rFonts w:cs="David" w:hint="cs"/>
          <w:rtl/>
        </w:rPr>
      </w:pPr>
    </w:p>
    <w:p w:rsidR="00000000" w:rsidRDefault="000A546C">
      <w:pPr>
        <w:overflowPunct w:val="0"/>
        <w:bidi/>
        <w:adjustRightInd w:val="0"/>
        <w:textAlignment w:val="baseline"/>
        <w:rPr>
          <w:rFonts w:cs="David" w:hint="cs"/>
          <w:rtl/>
        </w:rPr>
      </w:pPr>
      <w:r>
        <w:rPr>
          <w:rFonts w:cs="David" w:hint="cs"/>
          <w:rtl/>
        </w:rPr>
        <w:t>תוקף ביטול ההכ</w:t>
      </w:r>
      <w:r>
        <w:rPr>
          <w:rFonts w:cs="David" w:hint="cs"/>
          <w:rtl/>
        </w:rPr>
        <w:t>רזה – ממועד החלטתי זו.</w:t>
      </w:r>
    </w:p>
    <w:p w:rsidR="00000000" w:rsidRDefault="000A546C">
      <w:pPr>
        <w:overflowPunct w:val="0"/>
        <w:bidi/>
        <w:adjustRightInd w:val="0"/>
        <w:textAlignment w:val="baseline"/>
        <w:rPr>
          <w:rFonts w:cs="David" w:hint="cs"/>
          <w:rtl/>
        </w:rPr>
      </w:pPr>
    </w:p>
    <w:p w:rsidR="00000000" w:rsidRDefault="000A546C">
      <w:pPr>
        <w:overflowPunct w:val="0"/>
        <w:bidi/>
        <w:adjustRightInd w:val="0"/>
        <w:textAlignment w:val="baseline"/>
        <w:rPr>
          <w:rFonts w:cs="David" w:hint="cs"/>
          <w:rtl/>
        </w:rPr>
      </w:pPr>
      <w:r>
        <w:rPr>
          <w:rFonts w:cs="David" w:hint="cs"/>
          <w:rtl/>
        </w:rPr>
        <w:t xml:space="preserve">תיק המונופולין שמספרו 804 פתוח לעיון הציבור במשרד רשות ההגבלים העסקיים, רחוב כנפי נשרים 22, ירושלים ובאתר האינטרנט של רשות ההגבלים העסקיים שכתובתו: </w:t>
      </w:r>
      <w:hyperlink r:id="rId6" w:history="1">
        <w:r>
          <w:rPr>
            <w:rStyle w:val="Hyperlink"/>
            <w:rFonts w:hint="cs"/>
            <w:color w:val="800080"/>
          </w:rPr>
          <w:t>www.antitrust.gov.il</w:t>
        </w:r>
      </w:hyperlink>
      <w:r>
        <w:rPr>
          <w:rFonts w:cs="David" w:hint="cs"/>
          <w:rtl/>
        </w:rPr>
        <w:t>.</w:t>
      </w:r>
    </w:p>
    <w:p w:rsidR="00000000" w:rsidRDefault="000A546C">
      <w:pPr>
        <w:overflowPunct w:val="0"/>
        <w:bidi/>
        <w:adjustRightInd w:val="0"/>
        <w:textAlignment w:val="baseline"/>
        <w:rPr>
          <w:rFonts w:cs="David" w:hint="cs"/>
          <w:rtl/>
        </w:rPr>
      </w:pPr>
    </w:p>
    <w:p w:rsidR="00000000" w:rsidRDefault="000A546C">
      <w:pPr>
        <w:overflowPunct w:val="0"/>
        <w:bidi/>
        <w:adjustRightInd w:val="0"/>
        <w:textAlignment w:val="baseline"/>
        <w:rPr>
          <w:rFonts w:cs="David" w:hint="cs"/>
          <w:rtl/>
        </w:rPr>
      </w:pPr>
    </w:p>
    <w:p w:rsidR="00000000" w:rsidRDefault="000A546C">
      <w:pPr>
        <w:overflowPunct w:val="0"/>
        <w:bidi/>
        <w:adjustRightInd w:val="0"/>
        <w:ind w:left="5040" w:firstLine="720"/>
        <w:textAlignment w:val="baseline"/>
        <w:rPr>
          <w:rFonts w:cs="David" w:hint="cs"/>
          <w:rtl/>
        </w:rPr>
      </w:pPr>
      <w:r>
        <w:rPr>
          <w:rFonts w:cs="David" w:hint="cs"/>
          <w:rtl/>
        </w:rPr>
        <w:t>רונית קן</w:t>
      </w:r>
    </w:p>
    <w:p w:rsidR="00000000" w:rsidRDefault="000A546C">
      <w:pPr>
        <w:tabs>
          <w:tab w:val="left" w:pos="935"/>
          <w:tab w:val="center" w:pos="6038"/>
        </w:tabs>
        <w:overflowPunct w:val="0"/>
        <w:bidi/>
        <w:adjustRightInd w:val="0"/>
        <w:ind w:left="5040"/>
        <w:textAlignment w:val="baseline"/>
        <w:rPr>
          <w:rFonts w:cs="David" w:hint="cs"/>
          <w:rtl/>
        </w:rPr>
      </w:pPr>
      <w:r>
        <w:rPr>
          <w:rFonts w:cs="David" w:hint="cs"/>
          <w:rtl/>
        </w:rPr>
        <w:t>הממונה</w:t>
      </w:r>
      <w:r>
        <w:rPr>
          <w:rFonts w:cs="David" w:hint="cs"/>
          <w:rtl/>
        </w:rPr>
        <w:t xml:space="preserve"> על הגבלים עסקיים</w:t>
      </w:r>
    </w:p>
    <w:p w:rsidR="00000000" w:rsidRDefault="000A546C">
      <w:pPr>
        <w:tabs>
          <w:tab w:val="left" w:pos="935"/>
          <w:tab w:val="center" w:pos="6038"/>
        </w:tabs>
        <w:overflowPunct w:val="0"/>
        <w:bidi/>
        <w:adjustRightInd w:val="0"/>
        <w:textAlignment w:val="baseline"/>
        <w:rPr>
          <w:rFonts w:cs="David" w:hint="cs"/>
          <w:rtl/>
        </w:rPr>
      </w:pPr>
    </w:p>
    <w:p w:rsidR="00000000" w:rsidRDefault="000A546C">
      <w:pPr>
        <w:tabs>
          <w:tab w:val="left" w:pos="935"/>
          <w:tab w:val="center" w:pos="6038"/>
        </w:tabs>
        <w:overflowPunct w:val="0"/>
        <w:bidi/>
        <w:adjustRightInd w:val="0"/>
        <w:textAlignment w:val="baseline"/>
        <w:rPr>
          <w:rFonts w:cs="David" w:hint="cs"/>
          <w:rtl/>
        </w:rPr>
      </w:pPr>
    </w:p>
    <w:p w:rsidR="00000000" w:rsidRDefault="000A546C">
      <w:pPr>
        <w:bidi/>
        <w:spacing w:before="120"/>
        <w:rPr>
          <w:rFonts w:cs="David" w:hint="cs"/>
          <w:sz w:val="22"/>
          <w:rtl/>
        </w:rPr>
      </w:pPr>
      <w:r>
        <w:rPr>
          <w:rFonts w:cs="David" w:hint="cs"/>
          <w:sz w:val="22"/>
          <w:rtl/>
        </w:rPr>
        <w:t>‏‏ט' באב, תש"ע</w:t>
      </w:r>
    </w:p>
    <w:p w:rsidR="00000000" w:rsidRDefault="000A546C">
      <w:pPr>
        <w:bidi/>
        <w:spacing w:before="120"/>
        <w:rPr>
          <w:rFonts w:cs="David" w:hint="cs"/>
          <w:sz w:val="22"/>
          <w:rtl/>
        </w:rPr>
      </w:pPr>
      <w:r>
        <w:rPr>
          <w:rFonts w:cs="David" w:hint="cs"/>
          <w:sz w:val="22"/>
          <w:rtl/>
        </w:rPr>
        <w:t>‏20 ביולי, 2010</w:t>
      </w:r>
    </w:p>
    <w:p w:rsidR="00000000" w:rsidRDefault="000A546C">
      <w:pPr>
        <w:bidi/>
        <w:spacing w:before="120"/>
        <w:rPr>
          <w:rFonts w:cs="David" w:hint="cs"/>
          <w:sz w:val="22"/>
          <w:rtl/>
        </w:rPr>
      </w:pPr>
    </w:p>
    <w:p w:rsidR="00000000" w:rsidRDefault="000A546C">
      <w:pPr>
        <w:bidi/>
        <w:rPr>
          <w:rFonts w:cs="David" w:hint="cs"/>
          <w:sz w:val="22"/>
          <w:rtl/>
        </w:rPr>
      </w:pPr>
    </w:p>
    <w:p w:rsidR="00000000" w:rsidRDefault="000A546C">
      <w:pPr>
        <w:bidi/>
        <w:divId w:val="1456213222"/>
        <w:rPr>
          <w:rFonts w:eastAsia="Times New Roman" w:hint="cs"/>
          <w:rtl/>
        </w:rPr>
      </w:pPr>
      <w:r>
        <w:rPr>
          <w:rFonts w:eastAsia="Times New Roman" w:hint="cs"/>
          <w:rtl/>
        </w:rPr>
        <w:br w:type="textWrapping" w:clear="all"/>
      </w:r>
    </w:p>
    <w:p w:rsidR="00000000" w:rsidRDefault="000A546C">
      <w:pPr>
        <w:bidi/>
        <w:divId w:val="1456213222"/>
        <w:rPr>
          <w:rFonts w:eastAsia="Times New Roman" w:hint="cs"/>
          <w:rtl/>
        </w:rPr>
      </w:pPr>
      <w:r>
        <w:rPr>
          <w:rFonts w:eastAsia="Times New Roman" w:hint="cs"/>
        </w:rPr>
        <w:pict>
          <v:rect id="_x0000_i1025" style="width:141.1pt;height:.75pt" o:hrpct="330" o:hralign="right" o:hrstd="t" o:hr="t" fillcolor="#a0a0a0" stroked="f"/>
        </w:pict>
      </w:r>
    </w:p>
    <w:p w:rsidR="00000000" w:rsidRDefault="000A546C">
      <w:pPr>
        <w:pStyle w:val="Footer"/>
        <w:divId w:val="1483619487"/>
        <w:rPr>
          <w:rFonts w:hint="cs"/>
          <w:szCs w:val="14"/>
          <w:rtl/>
        </w:rPr>
      </w:pPr>
    </w:p>
    <w:p w:rsidR="00000000" w:rsidRDefault="000A546C">
      <w:pPr>
        <w:divId w:val="1483619487"/>
        <w:rPr>
          <w:rFonts w:eastAsia="Times New Roman" w:hint="cs"/>
        </w:rPr>
      </w:pPr>
      <w:r>
        <w:rPr>
          <w:rFonts w:eastAsia="Times New Roman" w:hint="cs"/>
        </w:rPr>
        <w:t>\</w:t>
      </w:r>
    </w:p>
    <w:sectPr w:rsidR="00000000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0A546C">
      <w:r>
        <w:separator/>
      </w:r>
    </w:p>
  </w:endnote>
  <w:endnote w:type="continuationSeparator" w:id="0">
    <w:p w:rsidR="00000000" w:rsidRDefault="000A54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0A546C">
      <w:r>
        <w:separator/>
      </w:r>
    </w:p>
  </w:footnote>
  <w:footnote w:type="continuationSeparator" w:id="0">
    <w:p w:rsidR="00000000" w:rsidRDefault="000A546C">
      <w:r>
        <w:continuationSeparator/>
      </w:r>
    </w:p>
  </w:footnote>
  <w:footnote w:id="1">
    <w:p w:rsidR="00000000" w:rsidRDefault="000A546C">
      <w:pPr>
        <w:pStyle w:val="FootnoteText"/>
        <w:bidi/>
        <w:spacing w:before="0" w:beforeAutospacing="0" w:after="0" w:afterAutospacing="0"/>
        <w:rPr>
          <w:rFonts w:cs="David" w:hint="cs"/>
          <w:sz w:val="20"/>
          <w:szCs w:val="20"/>
          <w:rtl/>
        </w:rPr>
      </w:pPr>
      <w:r>
        <w:rPr>
          <w:rStyle w:val="FootnoteReference"/>
          <w:rFonts w:cs="David"/>
          <w:rtl/>
        </w:rPr>
        <w:footnoteRef/>
      </w:r>
      <w:r>
        <w:rPr>
          <w:rStyle w:val="FootnoteReference"/>
          <w:rFonts w:eastAsia="Times New Roman" w:cs="David"/>
          <w:sz w:val="20"/>
          <w:szCs w:val="20"/>
          <w:lang w:eastAsia="he-IL"/>
        </w:rPr>
        <w:t>[1]</w:t>
      </w:r>
      <w:r>
        <w:rPr>
          <w:rFonts w:cs="David" w:hint="cs"/>
          <w:sz w:val="20"/>
          <w:szCs w:val="20"/>
          <w:rtl/>
        </w:rPr>
        <w:t xml:space="preserve"> ס"ח </w:t>
      </w:r>
      <w:proofErr w:type="spellStart"/>
      <w:r>
        <w:rPr>
          <w:rFonts w:cs="David" w:hint="cs"/>
          <w:sz w:val="20"/>
          <w:szCs w:val="20"/>
          <w:rtl/>
        </w:rPr>
        <w:t>התשמ"ח</w:t>
      </w:r>
      <w:proofErr w:type="spellEnd"/>
      <w:r>
        <w:rPr>
          <w:rFonts w:cs="David" w:hint="cs"/>
          <w:sz w:val="20"/>
          <w:szCs w:val="20"/>
          <w:rtl/>
        </w:rPr>
        <w:t>, עמ' 128.</w:t>
      </w:r>
    </w:p>
  </w:footnote>
  <w:footnote w:id="2">
    <w:p w:rsidR="00000000" w:rsidRDefault="000A546C">
      <w:pPr>
        <w:pStyle w:val="FootnoteText"/>
        <w:bidi/>
        <w:spacing w:before="0" w:beforeAutospacing="0" w:after="0" w:afterAutospacing="0"/>
        <w:rPr>
          <w:rFonts w:cs="David" w:hint="cs"/>
          <w:sz w:val="20"/>
          <w:szCs w:val="20"/>
          <w:rtl/>
        </w:rPr>
      </w:pPr>
      <w:r>
        <w:rPr>
          <w:rStyle w:val="FootnoteReference"/>
        </w:rPr>
        <w:footnoteRef/>
      </w:r>
      <w:r>
        <w:rPr>
          <w:rStyle w:val="FootnoteReference"/>
          <w:rFonts w:eastAsia="Times New Roman" w:cs="David"/>
          <w:sz w:val="20"/>
          <w:szCs w:val="20"/>
          <w:lang w:eastAsia="he-IL"/>
        </w:rPr>
        <w:t>[2]</w:t>
      </w:r>
      <w:r>
        <w:rPr>
          <w:rFonts w:cs="David" w:hint="cs"/>
          <w:sz w:val="20"/>
          <w:szCs w:val="20"/>
          <w:rtl/>
        </w:rPr>
        <w:t xml:space="preserve"> </w:t>
      </w:r>
      <w:proofErr w:type="spellStart"/>
      <w:r>
        <w:rPr>
          <w:rFonts w:cs="David" w:hint="cs"/>
          <w:sz w:val="20"/>
          <w:szCs w:val="20"/>
          <w:rtl/>
        </w:rPr>
        <w:t>י"פ</w:t>
      </w:r>
      <w:proofErr w:type="spellEnd"/>
      <w:r>
        <w:rPr>
          <w:rFonts w:cs="David" w:hint="cs"/>
          <w:sz w:val="20"/>
          <w:szCs w:val="20"/>
          <w:rtl/>
        </w:rPr>
        <w:t xml:space="preserve"> </w:t>
      </w:r>
      <w:proofErr w:type="spellStart"/>
      <w:r>
        <w:rPr>
          <w:rFonts w:cs="David" w:hint="cs"/>
          <w:sz w:val="20"/>
          <w:szCs w:val="20"/>
          <w:rtl/>
        </w:rPr>
        <w:t>התשמ"ט</w:t>
      </w:r>
      <w:proofErr w:type="spellEnd"/>
      <w:r>
        <w:rPr>
          <w:rFonts w:cs="David" w:hint="cs"/>
          <w:sz w:val="20"/>
          <w:szCs w:val="20"/>
          <w:rtl/>
        </w:rPr>
        <w:t xml:space="preserve"> עמ' 2365,  </w:t>
      </w:r>
      <w:proofErr w:type="spellStart"/>
      <w:r>
        <w:rPr>
          <w:rFonts w:cs="David" w:hint="cs"/>
          <w:sz w:val="20"/>
          <w:szCs w:val="20"/>
          <w:rtl/>
        </w:rPr>
        <w:t>י"פ</w:t>
      </w:r>
      <w:proofErr w:type="spellEnd"/>
      <w:r>
        <w:rPr>
          <w:rFonts w:cs="David" w:hint="cs"/>
          <w:sz w:val="20"/>
          <w:szCs w:val="20"/>
          <w:rtl/>
        </w:rPr>
        <w:t xml:space="preserve"> </w:t>
      </w:r>
      <w:proofErr w:type="spellStart"/>
      <w:r>
        <w:rPr>
          <w:rFonts w:cs="David" w:hint="cs"/>
          <w:sz w:val="20"/>
          <w:szCs w:val="20"/>
          <w:rtl/>
        </w:rPr>
        <w:t>התשמ"ט</w:t>
      </w:r>
      <w:proofErr w:type="spellEnd"/>
      <w:r>
        <w:rPr>
          <w:rFonts w:cs="David" w:hint="cs"/>
          <w:sz w:val="20"/>
          <w:szCs w:val="20"/>
          <w:rtl/>
        </w:rPr>
        <w:t xml:space="preserve"> עמ' 4012.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0A546C"/>
    <w:rsid w:val="000A5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C487B60-2B8E-48F2-9497-9C112D3D0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sonormal0">
    <w:name w:val="msonormal"/>
    <w:basedOn w:val="Normal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semiHidden/>
    <w:unhideWhenUsed/>
    <w:pPr>
      <w:spacing w:before="100" w:beforeAutospacing="1" w:after="100" w:afterAutospacing="1"/>
    </w:pPr>
  </w:style>
  <w:style w:type="character" w:customStyle="1" w:styleId="HeaderChar">
    <w:name w:val="Header Char"/>
    <w:basedOn w:val="DefaultParagraphFont"/>
    <w:link w:val="Header"/>
    <w:uiPriority w:val="99"/>
    <w:semiHidden/>
    <w:rPr>
      <w:rFonts w:eastAsiaTheme="minorEastAsia"/>
      <w:sz w:val="24"/>
      <w:szCs w:val="24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FootnoteReference">
    <w:name w:val="footnote reference"/>
    <w:basedOn w:val="DefaultParagraphFon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before="100" w:beforeAutospacing="1" w:after="100" w:afterAutospacing="1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eastAsiaTheme="minorEastAsia"/>
    </w:rPr>
  </w:style>
  <w:style w:type="paragraph" w:styleId="Footer">
    <w:name w:val="footer"/>
    <w:basedOn w:val="Normal"/>
    <w:link w:val="FooterChar"/>
    <w:uiPriority w:val="99"/>
    <w:semiHidden/>
    <w:unhideWhenUsed/>
    <w:pPr>
      <w:spacing w:before="100" w:beforeAutospacing="1" w:after="100" w:afterAutospacing="1"/>
    </w:pPr>
  </w:style>
  <w:style w:type="character" w:customStyle="1" w:styleId="FooterChar">
    <w:name w:val="Footer Char"/>
    <w:basedOn w:val="DefaultParagraphFont"/>
    <w:link w:val="Footer"/>
    <w:uiPriority w:val="99"/>
    <w:semiHidden/>
    <w:rPr>
      <w:rFonts w:eastAsiaTheme="minorEastAsia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0A546C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A546C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4212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3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ntitrust.gov.il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Melita Shafir</dc:creator>
  <cp:keywords/>
  <dc:description/>
  <cp:lastModifiedBy>Melita Shafir</cp:lastModifiedBy>
  <cp:revision>2</cp:revision>
  <dcterms:created xsi:type="dcterms:W3CDTF">2019-01-16T08:53:00Z</dcterms:created>
  <dcterms:modified xsi:type="dcterms:W3CDTF">2019-01-16T08:53:00Z</dcterms:modified>
</cp:coreProperties>
</file>